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There are a few big changes as a result of USM SaaS: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Co-terminant deals, based on USM SaaS Anniversary Date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Changes to Quoting Tool will be needed to accommodate above.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Fulfillment of Sensors will be substantially different than today.  We’re really managing “Allowable Number of Sensors” on controllers.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Opps will be approximate amounts.  Actual to-be-billed amounts will be based on Fulfillment Date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u w:val="single"/>
          <w:rtl w:val="0"/>
        </w:rPr>
        <w:t xml:space="preserve">Monday, June 20,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u w:val="single"/>
          <w:rtl w:val="0"/>
        </w:rPr>
        <w:t xml:space="preserve">USM SaaS Provisioning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Lee, Alex, Chris, Ron, Mark, Kyle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Topic - what kind of License provisioning will be done for Trial and for regular Fulfillment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Use Cases: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14-day Trial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14-day Trial gets extended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14-day Trial becomes a Paying Subscriber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Paying Subscriber w/o Trial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User adds sensors midway thru subscription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User reduces sensors at subscription renewal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Components: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Main Controller Node - resides in Cloud in AV-hosted envt, not actually downloaded.  During Trial, this node becomes provisioned and activated when user connects the first sensor node to it.  Only 1 Main Controller Node in an instance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“Sub-controller Nodes” - headless control nodes that hang off the Main Controller node.  Resides in Cloud in AV-hosted envt, not actually downloaded.  Zero to many Sub-Controller Nodes in an instance. I’m not sure if these get a different LIcense+Key than the Main COntroller Node.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Sensor Nodes - One to many sensor nodes in an instance.  Initially, only virtual sensors, no hardware.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License: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License - similar to a serial number, I think.  Each Controller Node gets a unique License Key.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Key - to activate the License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License+Key will exist for each Controller. It will indicate: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Allowable Number of Sensors.  The changing qty needs to be tracked.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Current expiration of the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USM SaaS Anniversary Date - all SaaS deals will be co-terminant to an Anniversary date.  Sounds like may be a big change for Sales.  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 *think* this means the actual amount of the Opp is dependent on the date Fulfilled.  OR, perhaps the Opp and Invoice will differ?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This is a HUGE impact to bookings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Delivery Date for Sensors (change to “Allowable number of sensors”) to determine the Amount-to-be-billed?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Appliances (in SFDC):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DIfferent from V5: Sounds like Controllers will have “Allowable Number of Sensors.”  This number could change as Subscriber adds (or reduces) sensors.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won’t be a provisioned LIcense or Key for sensors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Controllers - will need to include the License and Key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Sensors - probably need to indicate which Controller it belongs to.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Product Trial: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will be new criteria for who can have a Trial - roughly, US/Canada/UK, business email address.  Exclude competitor email domains.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We’ll need to decide how to handle non-qualified folks.  Messaging.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We’ll need to allow reps to allow other folks to have a trial - exception basis.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Regform - similar to today.  “Look for an email to your inbox with License Key and instructions”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We’ll make a call to Alex’s License Server and get a License UUID and a Key.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We’ll provision an Appliance for a Controller Node: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Allowable Number Sensors = 1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Type = Trial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Expiry = +14 days 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(It’ll hang off a LEAD - but it’ll need to follow the Lead when he gets converted to a CONTACT.  This will be tricky.)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We’ll send an email to the Lead with License + Key and instructions and Allowable Number Sensors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We’ll need to retain the License + Key in case we need to re-send.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Quoting: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Big changes here.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We’d need ability to calculate Term based on USM SaaS Anniversary date (new Field).  For new USM SaaS customers, we’d use an approximate date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Actual Invoice Amounts will presumably differ from Opp Amounts because of Fulfillment dates.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Fulfillment Event that initiates the billing and revenue recognition?  For expansion, I think some communication to Customer is needed, or a new License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Any changes to T&amp;C to accommodate: 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Subscription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Hosting in our envt - their data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What statements regarding data privacy, PII, data ownership, data backup, inherent risk of breach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1A57"/>
    <w:pPr>
      <w:spacing w:after="0" w:line="240" w:lineRule="auto"/>
    </w:pPr>
    <w:rPr>
      <w:rFonts w:ascii="Calibri" w:cs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4103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103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103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kZ/hXOT4bQ3IpZFMJgdIWCAzQ==">CgMxLjAyCGguZ2pkZ3hzOAByHDBCemRWR3FfTjhIbmpaRUZNTjFaZldrOXBPWE0=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2016-06-20T20:22:00Z</dcterms:created>
  <dc:creator>Graham Cohen</dc:creator>
</cp:coreProperties>
</file>